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9F" w:rsidRDefault="00604668" w:rsidP="00604668">
      <w:pPr>
        <w:jc w:val="center"/>
      </w:pPr>
      <w:r>
        <w:rPr>
          <w:rFonts w:ascii="Helvetica" w:hAnsi="Helvetica" w:cs="Helvetica"/>
          <w:noProof/>
        </w:rPr>
        <w:drawing>
          <wp:inline distT="0" distB="0" distL="0" distR="0">
            <wp:extent cx="14097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604668" w:rsidRDefault="00604668" w:rsidP="00604668">
      <w:pPr>
        <w:jc w:val="center"/>
      </w:pPr>
    </w:p>
    <w:p w:rsidR="00604668" w:rsidRPr="00604668" w:rsidRDefault="00604668" w:rsidP="00604668">
      <w:pPr>
        <w:jc w:val="center"/>
        <w:rPr>
          <w:b/>
          <w:sz w:val="32"/>
          <w:szCs w:val="32"/>
        </w:rPr>
      </w:pPr>
      <w:r w:rsidRPr="00604668">
        <w:rPr>
          <w:b/>
          <w:sz w:val="32"/>
          <w:szCs w:val="32"/>
        </w:rPr>
        <w:t xml:space="preserve">MVHS World Language Department </w:t>
      </w:r>
    </w:p>
    <w:p w:rsidR="00604668" w:rsidRPr="00604668" w:rsidRDefault="00604668" w:rsidP="00604668">
      <w:pPr>
        <w:jc w:val="center"/>
        <w:rPr>
          <w:b/>
          <w:sz w:val="32"/>
          <w:szCs w:val="32"/>
        </w:rPr>
      </w:pPr>
      <w:r w:rsidRPr="00604668">
        <w:rPr>
          <w:b/>
          <w:sz w:val="32"/>
          <w:szCs w:val="32"/>
        </w:rPr>
        <w:t>Fair &amp; Common Grading Policy</w:t>
      </w:r>
    </w:p>
    <w:p w:rsidR="00604668" w:rsidRDefault="00604668" w:rsidP="00604668">
      <w:pPr>
        <w:jc w:val="center"/>
      </w:pPr>
    </w:p>
    <w:p w:rsidR="00604668" w:rsidRDefault="00604668" w:rsidP="00604668">
      <w:r>
        <w:t xml:space="preserve">The following grading policy was established by all teachers of the World Language department (French &amp; Spanish) in April of 2014.  The policy is to be implemented by all World Language teachers in levels 1-3 beginning in the </w:t>
      </w:r>
      <w:proofErr w:type="gramStart"/>
      <w:r>
        <w:t>Fall</w:t>
      </w:r>
      <w:proofErr w:type="gramEnd"/>
      <w:r>
        <w:t xml:space="preserve"> of 2014.  It was derived after careful thought and discussion with the participation of all department members. Every member was given time to express their opinions and input and a final vote was taken to implement the policy.  This is part of the school’s larger goal of fair and common grading policies for all like-courses.  Teachers may continue to utilize weighted grades, or total points for their courses, however if total points are used, teachers must ensure that their assignments still fall within the percentage parameters agreed upon for the course.</w:t>
      </w:r>
    </w:p>
    <w:p w:rsidR="00604668" w:rsidRDefault="00604668" w:rsidP="00604668"/>
    <w:p w:rsidR="00604668" w:rsidRDefault="00604668" w:rsidP="00604668"/>
    <w:tbl>
      <w:tblPr>
        <w:tblStyle w:val="TableGrid"/>
        <w:tblW w:w="0" w:type="auto"/>
        <w:tblLook w:val="04A0" w:firstRow="1" w:lastRow="0" w:firstColumn="1" w:lastColumn="0" w:noHBand="0" w:noVBand="1"/>
      </w:tblPr>
      <w:tblGrid>
        <w:gridCol w:w="4428"/>
        <w:gridCol w:w="4428"/>
      </w:tblGrid>
      <w:tr w:rsidR="00604668" w:rsidTr="00604668">
        <w:tc>
          <w:tcPr>
            <w:tcW w:w="4428" w:type="dxa"/>
          </w:tcPr>
          <w:p w:rsidR="00604668" w:rsidRPr="00604668" w:rsidRDefault="00604668" w:rsidP="00604668">
            <w:pPr>
              <w:jc w:val="center"/>
              <w:rPr>
                <w:sz w:val="36"/>
                <w:szCs w:val="36"/>
              </w:rPr>
            </w:pPr>
            <w:r w:rsidRPr="00604668">
              <w:rPr>
                <w:sz w:val="36"/>
                <w:szCs w:val="36"/>
              </w:rPr>
              <w:t>Category</w:t>
            </w:r>
          </w:p>
        </w:tc>
        <w:tc>
          <w:tcPr>
            <w:tcW w:w="4428" w:type="dxa"/>
          </w:tcPr>
          <w:p w:rsidR="00604668" w:rsidRPr="00604668" w:rsidRDefault="00604668" w:rsidP="00604668">
            <w:pPr>
              <w:jc w:val="center"/>
              <w:rPr>
                <w:sz w:val="36"/>
                <w:szCs w:val="36"/>
              </w:rPr>
            </w:pPr>
            <w:r w:rsidRPr="00604668">
              <w:rPr>
                <w:sz w:val="36"/>
                <w:szCs w:val="36"/>
              </w:rPr>
              <w:t>Percentage of Overall Course Grade</w:t>
            </w:r>
          </w:p>
        </w:tc>
      </w:tr>
      <w:tr w:rsidR="00604668" w:rsidTr="00604668">
        <w:tc>
          <w:tcPr>
            <w:tcW w:w="4428" w:type="dxa"/>
          </w:tcPr>
          <w:p w:rsidR="00604668" w:rsidRPr="00604668" w:rsidRDefault="00604668" w:rsidP="00604668">
            <w:pPr>
              <w:jc w:val="center"/>
              <w:rPr>
                <w:sz w:val="36"/>
                <w:szCs w:val="36"/>
              </w:rPr>
            </w:pPr>
            <w:r w:rsidRPr="00604668">
              <w:rPr>
                <w:sz w:val="36"/>
                <w:szCs w:val="36"/>
              </w:rPr>
              <w:t>Tests/Quizzes</w:t>
            </w:r>
          </w:p>
        </w:tc>
        <w:tc>
          <w:tcPr>
            <w:tcW w:w="4428" w:type="dxa"/>
          </w:tcPr>
          <w:p w:rsidR="00604668" w:rsidRPr="00604668" w:rsidRDefault="00604668" w:rsidP="00604668">
            <w:pPr>
              <w:jc w:val="center"/>
              <w:rPr>
                <w:sz w:val="36"/>
                <w:szCs w:val="36"/>
              </w:rPr>
            </w:pPr>
            <w:r w:rsidRPr="00604668">
              <w:rPr>
                <w:sz w:val="36"/>
                <w:szCs w:val="36"/>
              </w:rPr>
              <w:t>45%-50%*</w:t>
            </w:r>
          </w:p>
        </w:tc>
      </w:tr>
      <w:tr w:rsidR="00604668" w:rsidTr="00604668">
        <w:tc>
          <w:tcPr>
            <w:tcW w:w="4428" w:type="dxa"/>
          </w:tcPr>
          <w:p w:rsidR="00604668" w:rsidRPr="00604668" w:rsidRDefault="00604668" w:rsidP="00604668">
            <w:pPr>
              <w:jc w:val="center"/>
              <w:rPr>
                <w:sz w:val="36"/>
                <w:szCs w:val="36"/>
              </w:rPr>
            </w:pPr>
            <w:r w:rsidRPr="00604668">
              <w:rPr>
                <w:sz w:val="36"/>
                <w:szCs w:val="36"/>
              </w:rPr>
              <w:t>Final Exam</w:t>
            </w:r>
          </w:p>
        </w:tc>
        <w:tc>
          <w:tcPr>
            <w:tcW w:w="4428" w:type="dxa"/>
          </w:tcPr>
          <w:p w:rsidR="00604668" w:rsidRPr="00604668" w:rsidRDefault="00604668" w:rsidP="00604668">
            <w:pPr>
              <w:jc w:val="center"/>
              <w:rPr>
                <w:sz w:val="36"/>
                <w:szCs w:val="36"/>
              </w:rPr>
            </w:pPr>
            <w:r w:rsidRPr="00604668">
              <w:rPr>
                <w:sz w:val="36"/>
                <w:szCs w:val="36"/>
              </w:rPr>
              <w:t>10%-15%*</w:t>
            </w:r>
          </w:p>
        </w:tc>
      </w:tr>
      <w:tr w:rsidR="00604668" w:rsidTr="00604668">
        <w:tc>
          <w:tcPr>
            <w:tcW w:w="4428" w:type="dxa"/>
          </w:tcPr>
          <w:p w:rsidR="00604668" w:rsidRPr="00604668" w:rsidRDefault="00604668" w:rsidP="00604668">
            <w:pPr>
              <w:jc w:val="center"/>
              <w:rPr>
                <w:sz w:val="36"/>
                <w:szCs w:val="36"/>
              </w:rPr>
            </w:pPr>
            <w:r w:rsidRPr="00604668">
              <w:rPr>
                <w:sz w:val="36"/>
                <w:szCs w:val="36"/>
              </w:rPr>
              <w:t>Homework</w:t>
            </w:r>
          </w:p>
        </w:tc>
        <w:tc>
          <w:tcPr>
            <w:tcW w:w="4428" w:type="dxa"/>
          </w:tcPr>
          <w:p w:rsidR="00604668" w:rsidRPr="00604668" w:rsidRDefault="00604668" w:rsidP="00604668">
            <w:pPr>
              <w:jc w:val="center"/>
              <w:rPr>
                <w:sz w:val="36"/>
                <w:szCs w:val="36"/>
              </w:rPr>
            </w:pPr>
            <w:r w:rsidRPr="00604668">
              <w:rPr>
                <w:sz w:val="36"/>
                <w:szCs w:val="36"/>
              </w:rPr>
              <w:t>12%-15%</w:t>
            </w:r>
          </w:p>
        </w:tc>
      </w:tr>
      <w:tr w:rsidR="00604668" w:rsidTr="00604668">
        <w:tc>
          <w:tcPr>
            <w:tcW w:w="4428" w:type="dxa"/>
          </w:tcPr>
          <w:p w:rsidR="00604668" w:rsidRPr="00604668" w:rsidRDefault="00604668" w:rsidP="00604668">
            <w:pPr>
              <w:jc w:val="center"/>
              <w:rPr>
                <w:sz w:val="36"/>
                <w:szCs w:val="36"/>
              </w:rPr>
            </w:pPr>
            <w:r w:rsidRPr="00604668">
              <w:rPr>
                <w:sz w:val="36"/>
                <w:szCs w:val="36"/>
              </w:rPr>
              <w:t>Skits/Projects/Writing</w:t>
            </w:r>
          </w:p>
        </w:tc>
        <w:tc>
          <w:tcPr>
            <w:tcW w:w="4428" w:type="dxa"/>
          </w:tcPr>
          <w:p w:rsidR="00604668" w:rsidRPr="00604668" w:rsidRDefault="00604668" w:rsidP="00604668">
            <w:pPr>
              <w:jc w:val="center"/>
              <w:rPr>
                <w:sz w:val="36"/>
                <w:szCs w:val="36"/>
              </w:rPr>
            </w:pPr>
            <w:r w:rsidRPr="00604668">
              <w:rPr>
                <w:sz w:val="36"/>
                <w:szCs w:val="36"/>
              </w:rPr>
              <w:t>13%-15%</w:t>
            </w:r>
          </w:p>
        </w:tc>
      </w:tr>
      <w:tr w:rsidR="00604668" w:rsidTr="00604668">
        <w:tc>
          <w:tcPr>
            <w:tcW w:w="4428" w:type="dxa"/>
          </w:tcPr>
          <w:p w:rsidR="00604668" w:rsidRPr="00604668" w:rsidRDefault="00604668" w:rsidP="00604668">
            <w:pPr>
              <w:jc w:val="center"/>
              <w:rPr>
                <w:sz w:val="36"/>
                <w:szCs w:val="36"/>
              </w:rPr>
            </w:pPr>
            <w:r w:rsidRPr="00604668">
              <w:rPr>
                <w:sz w:val="36"/>
                <w:szCs w:val="36"/>
              </w:rPr>
              <w:t>Classwork/Participation</w:t>
            </w:r>
          </w:p>
        </w:tc>
        <w:tc>
          <w:tcPr>
            <w:tcW w:w="4428" w:type="dxa"/>
          </w:tcPr>
          <w:p w:rsidR="00604668" w:rsidRPr="00604668" w:rsidRDefault="00604668" w:rsidP="00604668">
            <w:pPr>
              <w:jc w:val="center"/>
              <w:rPr>
                <w:sz w:val="36"/>
                <w:szCs w:val="36"/>
              </w:rPr>
            </w:pPr>
            <w:r w:rsidRPr="00604668">
              <w:rPr>
                <w:sz w:val="36"/>
                <w:szCs w:val="36"/>
              </w:rPr>
              <w:t>10%</w:t>
            </w:r>
          </w:p>
        </w:tc>
      </w:tr>
    </w:tbl>
    <w:p w:rsidR="00604668" w:rsidRDefault="00604668" w:rsidP="00604668">
      <w:pPr>
        <w:jc w:val="center"/>
      </w:pPr>
    </w:p>
    <w:p w:rsidR="00604668" w:rsidRDefault="00604668" w:rsidP="00604668">
      <w:r>
        <w:t xml:space="preserve">*The department came to the agreement that though there is a range for the tests/quizzes &amp; final exam categories, the combination of these two categories </w:t>
      </w:r>
      <w:r w:rsidRPr="00604668">
        <w:rPr>
          <w:b/>
          <w:u w:val="single"/>
        </w:rPr>
        <w:t xml:space="preserve">may not exceed 60% </w:t>
      </w:r>
      <w:r>
        <w:t>of the student’s overall class grade.</w:t>
      </w:r>
      <w:bookmarkStart w:id="0" w:name="_GoBack"/>
      <w:bookmarkEnd w:id="0"/>
    </w:p>
    <w:sectPr w:rsidR="00604668" w:rsidSect="008C5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68"/>
    <w:rsid w:val="00604668"/>
    <w:rsid w:val="008C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67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6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6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Perez</dc:creator>
  <cp:keywords/>
  <dc:description/>
  <cp:lastModifiedBy>Mark Perez</cp:lastModifiedBy>
  <cp:revision>1</cp:revision>
  <dcterms:created xsi:type="dcterms:W3CDTF">2014-06-12T22:51:00Z</dcterms:created>
  <dcterms:modified xsi:type="dcterms:W3CDTF">2014-06-12T23:06:00Z</dcterms:modified>
</cp:coreProperties>
</file>